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tLeast" w:line="560" w:before="0" w:after="0"/>
        <w:ind w:right="0" w:firstLine="0"/>
        <w:rPr>
          <w:color w:val="auto"/>
          <w:position w:val="0"/>
          <w:sz w:val="32"/>
          <w:szCs w:val="32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方正小标宋简体" w:eastAsia="方正小标宋简体" w:hAnsi="方正小标宋简体" w:hint="default"/>
        </w:rPr>
        <w:t>关于开展2019-2020年度“活力团支部-红旗团支部”</w:t>
      </w:r>
    </w:p>
    <w:p>
      <w:pPr>
        <w:numPr>
          <w:ilvl w:val="0"/>
          <w:numId w:val="0"/>
        </w:numPr>
        <w:jc w:val="center"/>
        <w:spacing w:lineRule="atLeast" w:line="560" w:before="0" w:after="0"/>
        <w:ind w:right="0" w:firstLine="0"/>
        <w:rPr>
          <w:color w:val="auto"/>
          <w:position w:val="0"/>
          <w:sz w:val="32"/>
          <w:szCs w:val="32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方正小标宋简体" w:eastAsia="方正小标宋简体" w:hAnsi="方正小标宋简体" w:hint="default"/>
        </w:rPr>
        <w:t>终期验收工作的通知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各立项团支部：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为夯实基层团支部建设、切实抓好基层团支部活力提升工程，根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据《关于开展“活力团支部-红旗团支部”创建工程的通知》安排，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将在近期开展2019-2020年度“活力团支部-红旗团支部”终期验收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工作，具体事宜通知如下：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2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一、验收流程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（一）学院团委考核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1.考核时间：4月12日-4月15日，具体时间单独通知。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2.考核对象：通过中期考核的</w:t>
      </w: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活力团支部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3.考核形式：学院团委结合日常培养情况，采用材料审核、线上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答辩评审等考察方式进行考核。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4.考核优秀的团支部可推荐1个参加学校红旗团支部考核，如无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合适团支部，不做推荐；考核合格的团支部可通过终期验收，学院授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予标兵团支部；不合格则取消资格。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（二）校团委考核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1.考核时间：4月11日-4月20日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2.考核对象：通过</w:t>
      </w: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中期考核的红旗团支部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和</w:t>
      </w: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学院团委推荐参评的</w:t>
      </w: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活力团支部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3.考核形式：校团委结合日常培养情况，采用材料审核、线上评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审等考察方式进行考核。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4.综合两方面评比，考核排名前10位作为红旗团支部，落选团支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部直接当选为活力团支部。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2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二、材料报送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1.所有立项团支部4月14日前需提交支部工作总结（2019.4-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2020.4）（附件2）、活动照片3-5张（每张不小于1M）等电子版材料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提交学院团委汇总，所有材料发送至1025260785@qq.com。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2.各推荐参评</w:t>
      </w: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红旗团支部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以WORD文件形式提交“智慧团建”系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统中自2020年2月份以来的</w:t>
      </w: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“团内会议”、“团课”与“团日活动”</w:t>
      </w: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记录截图。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另外还需上交本支部工作总结（附件2）、支部特色介绍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（200字以内）和活动照片（3-5张）。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各获评团支部后续将在学院媒体进行宣传。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联系人：赵振华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联系电话：0532-86980329</w:t>
      </w:r>
    </w:p>
    <w:p>
      <w:pPr>
        <w:numPr>
          <w:ilvl w:val="0"/>
          <w:numId w:val="0"/>
        </w:numPr>
        <w:jc w:val="both"/>
        <w:spacing w:lineRule="atLeast" w:line="560" w:before="0" w:after="0"/>
        <w:ind w:right="0" w:firstLine="640"/>
        <w:rPr>
          <w:color w:val="292929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atLeast" w:line="560" w:before="0" w:after="0"/>
        <w:ind w:right="0" w:firstLine="560"/>
        <w:rPr>
          <w:color w:val="292929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atLeast" w:line="560" w:before="0" w:after="0"/>
        <w:ind w:right="0" w:firstLine="560"/>
        <w:rPr>
          <w:color w:val="292929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color w:val="292929"/>
          <w:position w:val="0"/>
          <w:sz w:val="28"/>
          <w:szCs w:val="28"/>
          <w:rFonts w:ascii="宋体" w:eastAsia="宋体" w:hAnsi="宋体" w:hint="default"/>
        </w:rPr>
        <w:t>2020年4月12日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980" w:hanging="420"/>
        <w:jc w:val="both"/>
      </w:pPr>
      <w:lvlText w:val="%1."/>
    </w:lvl>
    <w:lvl w:ilvl="1">
      <w:lvlJc w:val="left"/>
      <w:numFmt w:val="lowerLetter"/>
      <w:start w:val="1"/>
      <w:suff w:val="tab"/>
      <w:pPr>
        <w:ind w:left="140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2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24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66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08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0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2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340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japaneseCounting"/>
      <w:start w:val="1"/>
      <w:suff w:val="tab"/>
      <w:pPr>
        <w:ind w:left="144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56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8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40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82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24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66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8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500" w:hanging="420"/>
        <w:jc w:val="both"/>
      </w:pPr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  <w:style w:styleId="PO156" w:type="character">
    <w:name w:val="Hyperlink"/>
    <w:basedOn w:val="PO2"/>
    <w:uiPriority w:val="156"/>
    <w:unhideWhenUsed/>
    <w:rPr>
      <w:color w:val="0563C1" w:themeColor="hyperlink"/>
      <w:shd w:val="clear"/>
      <w:sz w:val="20"/>
      <w:szCs w:val="20"/>
      <w:u w:val="single"/>
      <w:w w:val="100"/>
    </w:rPr>
  </w:style>
  <w:style w:styleId="PO157" w:type="paragraph">
    <w:name w:val="Date"/>
    <w:basedOn w:val="PO1"/>
    <w:next w:val="PO1"/>
    <w:link w:val="PO158"/>
    <w:uiPriority w:val="157"/>
    <w:semiHidden/>
    <w:unhideWhenUsed/>
    <w:pPr>
      <w:autoSpaceDE w:val="1"/>
      <w:autoSpaceDN w:val="1"/>
      <w:ind w:left="100" w:firstLine="0"/>
      <w:widowControl/>
      <w:wordWrap/>
    </w:pPr>
  </w:style>
  <w:style w:customStyle="1" w:styleId="PO158" w:type="character">
    <w:name w:val="日期 Char"/>
    <w:basedOn w:val="PO2"/>
    <w:link w:val="PO157"/>
    <w:uiPriority w:val="158"/>
    <w:semiHidden/>
  </w:style>
  <w:style w:styleId="PO159" w:type="paragraph">
    <w:name w:val="Normal (Web)"/>
    <w:basedOn w:val="PO1"/>
    <w:uiPriority w:val="159"/>
    <w:semiHidden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5</Lines>
  <LinksUpToDate>false</LinksUpToDate>
  <Pages>2</Pages>
  <Paragraphs>1</Paragraphs>
  <Words>110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307</dc:creator>
  <cp:lastModifiedBy/>
  <dcterms:modified xsi:type="dcterms:W3CDTF">2020-04-12T03:55:00Z</dcterms:modified>
</cp:coreProperties>
</file>